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LIPID PANEL </w:t>
        <w:br w:type="textWrapping"/>
        <w:t xml:space="preserve">(TECHNICAL PROCEDURE)</w:t>
      </w:r>
    </w:p>
    <w:p w:rsidR="00000000" w:rsidDel="00000000" w:rsidP="00000000" w:rsidRDefault="00000000" w:rsidRPr="00000000" w14:paraId="0000000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Lipid Panel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lipid panel is a blood test that measures lipids, or the amount of certain fat molecules, in your blood, typically including four cholesterol measurements and triglycerides.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Principle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lipid panel measures key fats in the blood, including cholesterol and triglycerides, which are carried by lipoproteins. It provides four main readings: total cholesterol, low-density lipoprotein (LDL) which can clog blood vessels, high-density lipoprotein (HDL) which helps remove cholesterol, and triglycerides. This test is done to:</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for risk of high blood pressure due to high cholesterol.</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onitor and screen for risk of cardiovascular and pancreas disease.</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predict risk for heart disease and stroke.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Specimen Requirements</w:t>
      </w:r>
    </w:p>
    <w:p w:rsidR="00000000" w:rsidDel="00000000" w:rsidP="00000000" w:rsidRDefault="00000000" w:rsidRPr="00000000" w14:paraId="0000000D">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Specimen Type:</w:t>
      </w:r>
      <w:r w:rsidDel="00000000" w:rsidR="00000000" w:rsidRPr="00000000">
        <w:rPr>
          <w:rFonts w:ascii="Times New Roman" w:cs="Times New Roman" w:eastAsia="Times New Roman" w:hAnsi="Times New Roman"/>
          <w:sz w:val="24"/>
          <w:szCs w:val="24"/>
          <w:rtl w:val="0"/>
        </w:rPr>
        <w:t xml:space="preserve"> Serum (preferred) or plasma with a minimum volume of 3 mL.</w:t>
      </w:r>
    </w:p>
    <w:p w:rsidR="00000000" w:rsidDel="00000000" w:rsidP="00000000" w:rsidRDefault="00000000" w:rsidRPr="00000000" w14:paraId="0000000E">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Collection:</w:t>
      </w:r>
      <w:r w:rsidDel="00000000" w:rsidR="00000000" w:rsidRPr="00000000">
        <w:rPr>
          <w:rFonts w:ascii="Times New Roman" w:cs="Times New Roman" w:eastAsia="Times New Roman" w:hAnsi="Times New Roman"/>
          <w:sz w:val="24"/>
          <w:szCs w:val="24"/>
          <w:rtl w:val="0"/>
        </w:rPr>
        <w:t xml:space="preserve"> Serum separator tube (SST) (Preferred), Plasma separator tube (PST) or red topped vacutainer tube.</w:t>
      </w:r>
    </w:p>
    <w:p w:rsidR="00000000" w:rsidDel="00000000" w:rsidP="00000000" w:rsidRDefault="00000000" w:rsidRPr="00000000" w14:paraId="0000000F">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Collection Instructions:</w:t>
      </w:r>
      <w:r w:rsidDel="00000000" w:rsidR="00000000" w:rsidRPr="00000000">
        <w:rPr>
          <w:rFonts w:ascii="Times New Roman" w:cs="Times New Roman" w:eastAsia="Times New Roman" w:hAnsi="Times New Roman"/>
          <w:sz w:val="24"/>
          <w:szCs w:val="24"/>
          <w:rtl w:val="0"/>
        </w:rPr>
        <w:t xml:space="preserve">Separate serum or plasma from the cells within 45 minutes after collection. Lipid panels should generally be avoided for three months after a myocardial infarction, but cholesterol can still be measured within the first 24 hours.</w:t>
      </w:r>
      <w:r w:rsidDel="00000000" w:rsidR="00000000" w:rsidRPr="00000000">
        <w:rPr>
          <w:rtl w:val="0"/>
        </w:rPr>
      </w:r>
    </w:p>
    <w:p w:rsidR="00000000" w:rsidDel="00000000" w:rsidP="00000000" w:rsidRDefault="00000000" w:rsidRPr="00000000" w14:paraId="00000010">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Container: </w:t>
      </w:r>
      <w:r w:rsidDel="00000000" w:rsidR="00000000" w:rsidRPr="00000000">
        <w:rPr>
          <w:rFonts w:ascii="Times New Roman" w:cs="Times New Roman" w:eastAsia="Times New Roman" w:hAnsi="Times New Roman"/>
          <w:sz w:val="24"/>
          <w:szCs w:val="24"/>
          <w:rtl w:val="0"/>
        </w:rPr>
        <w:t xml:space="preserve">Red-top tube, gel-barrier tube, or green-top (lithium heparin) tube. Do not use oxalate, EDTA, or citrate plasma.</w:t>
      </w:r>
    </w:p>
    <w:p w:rsidR="00000000" w:rsidDel="00000000" w:rsidP="00000000" w:rsidRDefault="00000000" w:rsidRPr="00000000" w14:paraId="00000011">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Labeling:</w:t>
      </w:r>
      <w:r w:rsidDel="00000000" w:rsidR="00000000" w:rsidRPr="00000000">
        <w:rPr>
          <w:rFonts w:ascii="Times New Roman" w:cs="Times New Roman" w:eastAsia="Times New Roman" w:hAnsi="Times New Roman"/>
          <w:sz w:val="24"/>
          <w:szCs w:val="24"/>
          <w:rtl w:val="0"/>
        </w:rPr>
        <w:t xml:space="preserve"> Patient name, collection date and time, specimen type, test required </w:t>
      </w:r>
    </w:p>
    <w:p w:rsidR="00000000" w:rsidDel="00000000" w:rsidP="00000000" w:rsidRDefault="00000000" w:rsidRPr="00000000" w14:paraId="00000012">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Cause for Rejection:</w:t>
      </w:r>
      <w:r w:rsidDel="00000000" w:rsidR="00000000" w:rsidRPr="00000000">
        <w:rPr>
          <w:rFonts w:ascii="Times New Roman" w:cs="Times New Roman" w:eastAsia="Times New Roman" w:hAnsi="Times New Roman"/>
          <w:sz w:val="24"/>
          <w:szCs w:val="24"/>
          <w:rtl w:val="0"/>
        </w:rPr>
        <w:t xml:space="preserve"> Incomplete and/or incorrect sample identification, improper storage/transport, gross hemolysis. </w:t>
      </w:r>
    </w:p>
    <w:p w:rsidR="00000000" w:rsidDel="00000000" w:rsidP="00000000" w:rsidRDefault="00000000" w:rsidRPr="00000000" w14:paraId="00000013">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Storage Instructions: </w:t>
      </w:r>
      <w:r w:rsidDel="00000000" w:rsidR="00000000" w:rsidRPr="00000000">
        <w:rPr>
          <w:rFonts w:ascii="Times New Roman" w:cs="Times New Roman" w:eastAsia="Times New Roman" w:hAnsi="Times New Roman"/>
          <w:sz w:val="24"/>
          <w:szCs w:val="24"/>
          <w:rtl w:val="0"/>
        </w:rPr>
        <w:t xml:space="preserve">Maintain specimen at room temperature.</w:t>
      </w:r>
    </w:p>
    <w:p w:rsidR="00000000" w:rsidDel="00000000" w:rsidP="00000000" w:rsidRDefault="00000000" w:rsidRPr="00000000" w14:paraId="00000014">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Transport: </w:t>
      </w:r>
      <w:r w:rsidDel="00000000" w:rsidR="00000000" w:rsidRPr="00000000">
        <w:rPr>
          <w:rFonts w:ascii="Times New Roman" w:cs="Times New Roman" w:eastAsia="Times New Roman" w:hAnsi="Times New Roman"/>
          <w:sz w:val="24"/>
          <w:szCs w:val="24"/>
          <w:rtl w:val="0"/>
        </w:rPr>
        <w:t xml:space="preserve">Deliver to Sample Management within 2 hours of collection.</w:t>
      </w:r>
    </w:p>
    <w:p w:rsidR="00000000" w:rsidDel="00000000" w:rsidP="00000000" w:rsidRDefault="00000000" w:rsidRPr="00000000" w14:paraId="00000015">
      <w:pPr>
        <w:numPr>
          <w:ilvl w:val="0"/>
          <w:numId w:val="5"/>
        </w:numPr>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Stability Requirements: </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temperature - 3 days</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Refrigerated - 14 days</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Frozen - 14 days</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Freeze/thaw cycles - Stable x2</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Reagents or Media, Supplies, Equipment</w:t>
      </w:r>
    </w:p>
    <w:p w:rsidR="00000000" w:rsidDel="00000000" w:rsidP="00000000" w:rsidRDefault="00000000" w:rsidRPr="00000000" w14:paraId="00000020">
      <w:pPr>
        <w:numPr>
          <w:ilvl w:val="0"/>
          <w:numId w:val="11"/>
        </w:numPr>
        <w:ind w:left="720" w:hanging="360"/>
        <w:rPr>
          <w:b w:val="1"/>
          <w:sz w:val="24"/>
          <w:szCs w:val="24"/>
        </w:rPr>
      </w:pPr>
      <w:r w:rsidDel="00000000" w:rsidR="00000000" w:rsidRPr="00000000">
        <w:rPr>
          <w:rFonts w:ascii="Times New Roman" w:cs="Times New Roman" w:eastAsia="Times New Roman" w:hAnsi="Times New Roman"/>
          <w:b w:val="1"/>
          <w:sz w:val="24"/>
          <w:szCs w:val="24"/>
          <w:rtl w:val="0"/>
        </w:rPr>
        <w:t xml:space="preserve">Reagents and Supplies</w:t>
      </w:r>
      <w:r w:rsidDel="00000000" w:rsidR="00000000" w:rsidRPr="00000000">
        <w:rPr>
          <w:rFonts w:ascii="Times New Roman" w:cs="Times New Roman" w:eastAsia="Times New Roman" w:hAnsi="Times New Roman"/>
          <w:sz w:val="24"/>
          <w:szCs w:val="24"/>
          <w:rtl w:val="0"/>
        </w:rPr>
        <w:t xml:space="preserve">: Roche Cat. No. 03039773190, CHOL2 reagent kit (400 tests)</w:t>
      </w:r>
    </w:p>
    <w:p w:rsidR="00000000" w:rsidDel="00000000" w:rsidP="00000000" w:rsidRDefault="00000000" w:rsidRPr="00000000" w14:paraId="00000021">
      <w:pPr>
        <w:numPr>
          <w:ilvl w:val="0"/>
          <w:numId w:val="1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Reagent Preparation: (Reagents are ready to use; no preparation required)</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R1 reagent. PIPES buffer: 225 mmol/L, pH 6.8; Mg2+: 10 mmol/L; sodium cholate: 0.6 mmol/L; 4-aminophenazone: ≥0.45 mmol/L; phenol: ≥ 12.6 mmol/L; fatty alcohol polyglycol ether: 3 %; cholesterol esterase (Pseudomonas spec.): ≥ 25 μkat/L (≥ 1.5 U/mL); cholesterol oxidase (E. coli); ≥ 7.5 μkat/L (≥ 0.45 U/mL); peroxidase (horseradish): ≥ 12.5 μkat/L (≥ 0.75 U/mL); stabilizers; preservative. Storage and stability. Keep reagents stored at 2-8°C until use. The reagents are stable for 28 days refrigerated on the analyzer.</w:t>
      </w:r>
    </w:p>
    <w:p w:rsidR="00000000" w:rsidDel="00000000" w:rsidP="00000000" w:rsidRDefault="00000000" w:rsidRPr="00000000" w14:paraId="00000023">
      <w:pPr>
        <w:numPr>
          <w:ilvl w:val="0"/>
          <w:numId w:val="1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Equipment/Instrumentation</w:t>
      </w:r>
    </w:p>
    <w:p w:rsidR="00000000" w:rsidDel="00000000" w:rsidP="00000000" w:rsidRDefault="00000000" w:rsidRPr="00000000" w14:paraId="00000024">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6000 Chemistry Analyzer (Roche Diagnostics Corporation, Indianapolis, IN 46250) </w:t>
      </w:r>
    </w:p>
    <w:p w:rsidR="00000000" w:rsidDel="00000000" w:rsidP="00000000" w:rsidRDefault="00000000" w:rsidRPr="00000000" w14:paraId="00000025">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Millipore Elix Gulfstream Clinical 35 System is designed to meet CLSI Clinical Laboratory Reagent Water (CLRW) standards. Water purification is achieved by reverse osmosis, electrodeionization, bactericidal 254 nm UV lamp and 0.22 μm filtration.</w:t>
      </w:r>
      <w:r w:rsidDel="00000000" w:rsidR="00000000" w:rsidRPr="00000000">
        <w:rPr>
          <w:rtl w:val="0"/>
        </w:rPr>
      </w:r>
    </w:p>
    <w:p w:rsidR="00000000" w:rsidDel="00000000" w:rsidP="00000000" w:rsidRDefault="00000000" w:rsidRPr="00000000" w14:paraId="00000026">
      <w:pPr>
        <w:numPr>
          <w:ilvl w:val="0"/>
          <w:numId w:val="1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Specimens are run in singleton</w:t>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Calibration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Calibrator for Automated Systems (C.F.A.S.), catalog #10759350190, remains stable until the expiration date if stored at 4°C. To prepare, reconstitute the lyophilized calibrator with 3.0 mL of deionized water by gently swirling for 30 minutes, avoiding foam formation. Once prepared, it is stable for eight hours at room temperature, two days at 4°C, or one month if frozen at –20°C. The method is standardized by Abell/Kendall and isotope dilution/mass spectrometry.</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Calibration must be performed when a new reagent lot is introduced, as the Cobas 6000 won't allow testing until calibration is completed. Calibration should also be done every six months without a lot of change, after major repairs, or when troubleshooting. If calibration fails, check reagent and calibrator details, repeat the calibration with fresh materials, and if still unsuccessful, stop testing and inform the supervisor.</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Quality Control</w:t>
      </w:r>
    </w:p>
    <w:p w:rsidR="00000000" w:rsidDel="00000000" w:rsidP="00000000" w:rsidRDefault="00000000" w:rsidRPr="00000000" w14:paraId="0000002E">
      <w:pPr>
        <w:numPr>
          <w:ilvl w:val="0"/>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 pooled serum control (CQ) is stable for up to 4 years at -80°C, 1 day at refrigerated temperature, and 4 hours at room temperature.</w:t>
      </w:r>
    </w:p>
    <w:p w:rsidR="00000000" w:rsidDel="00000000" w:rsidP="00000000" w:rsidRDefault="00000000" w:rsidRPr="00000000" w14:paraId="0000002F">
      <w:pPr>
        <w:numPr>
          <w:ilvl w:val="0"/>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Biorad Lyphocheck Unassayed Chemistry Control Level 2 (Ref. #732, 5 mL) is stable unopened at 2-8°C until the expiration date. To prepare, add 5.0 mL deionized water and gently swirl for 20 minutes. Once prepared, it is stable for 12 hours at room temperature, 7 days at 2-8°C, and 1 month at -20°C (if frozen once).</w:t>
      </w:r>
    </w:p>
    <w:p w:rsidR="00000000" w:rsidDel="00000000" w:rsidP="00000000" w:rsidRDefault="00000000" w:rsidRPr="00000000" w14:paraId="00000030">
      <w:pPr>
        <w:numPr>
          <w:ilvl w:val="0"/>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quality control levels are analyzed at the start of the day, end of the shift, or after reagent changes and major maintenance, with results verified before specimen testing.</w:t>
      </w:r>
    </w:p>
    <w:p w:rsidR="00000000" w:rsidDel="00000000" w:rsidP="00000000" w:rsidRDefault="00000000" w:rsidRPr="00000000" w14:paraId="00000031">
      <w:pPr>
        <w:numPr>
          <w:ilvl w:val="0"/>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analytical measurement range (AMR) is validated every 6 months or after major service. The lab participates in the CAP linearity program, with cholesterol tested twice a year. Results are submitted online, and reports are reviewed for accuracy.</w:t>
      </w:r>
    </w:p>
    <w:p w:rsidR="00000000" w:rsidDel="00000000" w:rsidP="00000000" w:rsidRDefault="00000000" w:rsidRPr="00000000" w14:paraId="00000032">
      <w:pPr>
        <w:numPr>
          <w:ilvl w:val="0"/>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new reagent lots, calibration, quality control, and testing of at least five patient samples from the old and new lots must be within acceptable limits before use.</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Step-by-Step Instructions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Instrument Operation:</w:t>
      </w:r>
      <w:r w:rsidDel="00000000" w:rsidR="00000000" w:rsidRPr="00000000">
        <w:rPr>
          <w:rFonts w:ascii="Times New Roman" w:cs="Times New Roman" w:eastAsia="Times New Roman" w:hAnsi="Times New Roman"/>
          <w:sz w:val="24"/>
          <w:szCs w:val="24"/>
          <w:rtl w:val="0"/>
        </w:rPr>
        <w:t xml:space="preserve"> The Roche/Hitachi Cobas 6000 analyzer series is a fully automated, software-controlled system used for both immunoassays and photometric analyses, performing qualitative and quantitative in vitro tests. It includes modules for various tests, such as photometric and ion-selective electrode (ISE) determinations for sodium, potassium, and chloride (c501 module), and electrochemiluminescence (ECL) for immunoassays (e601 module). It can process test orders and data entry either manually or via a barcode-based bi-directional interface, or both simultaneously.</w:t>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 Entry:</w:t>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STARLIMS test code: CHOL</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result entry, reported in whole numbers (mg/dL).</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values below 5 mg/dL as &lt;5 mg/dL.</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results are free from error flags, and take corrective actions as needed.</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alert values and any changes based on delta checks.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Professional Judgment: </w:t>
      </w:r>
      <w:r w:rsidDel="00000000" w:rsidR="00000000" w:rsidRPr="00000000">
        <w:rPr>
          <w:rFonts w:ascii="Times New Roman" w:cs="Times New Roman" w:eastAsia="Times New Roman" w:hAnsi="Times New Roman"/>
          <w:sz w:val="24"/>
          <w:szCs w:val="24"/>
          <w:rtl w:val="0"/>
        </w:rPr>
        <w:t xml:space="preserve">Use expertise to verify results, handle error flags, and take corrective actions if necessary.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Reporting Results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Lipid Panel Test Results </w:t>
      </w:r>
      <w:r w:rsidDel="00000000" w:rsidR="00000000" w:rsidRPr="00000000">
        <w:rPr>
          <w:rFonts w:ascii="Times New Roman" w:cs="Times New Roman" w:eastAsia="Times New Roman" w:hAnsi="Times New Roman"/>
          <w:sz w:val="24"/>
          <w:szCs w:val="24"/>
          <w:rtl w:val="0"/>
        </w:rPr>
        <w:t xml:space="preserve">Reports usually include:</w:t>
      </w:r>
    </w:p>
    <w:p w:rsidR="00000000" w:rsidDel="00000000" w:rsidP="00000000" w:rsidRDefault="00000000" w:rsidRPr="00000000" w14:paraId="00000042">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test or measurement.</w:t>
      </w:r>
    </w:p>
    <w:p w:rsidR="00000000" w:rsidDel="00000000" w:rsidP="00000000" w:rsidRDefault="00000000" w:rsidRPr="00000000" w14:paraId="00000043">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specific test result.</w:t>
      </w:r>
    </w:p>
    <w:p w:rsidR="00000000" w:rsidDel="00000000" w:rsidP="00000000" w:rsidRDefault="00000000" w:rsidRPr="00000000" w14:paraId="00000044">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normal range for the test.</w:t>
      </w:r>
    </w:p>
    <w:p w:rsidR="00000000" w:rsidDel="00000000" w:rsidP="00000000" w:rsidRDefault="00000000" w:rsidRPr="00000000" w14:paraId="00000045">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indication if your result is normal, high, or low.</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Normal Lipid Panel Levels: (measured in mg/dL)</w:t>
      </w:r>
    </w:p>
    <w:p w:rsidR="00000000" w:rsidDel="00000000" w:rsidP="00000000" w:rsidRDefault="00000000" w:rsidRPr="00000000" w14:paraId="0000004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otal cholesterol: Below 200 mg/dL.</w:t>
      </w:r>
    </w:p>
    <w:p w:rsidR="00000000" w:rsidDel="00000000" w:rsidP="00000000" w:rsidRDefault="00000000" w:rsidRPr="00000000" w14:paraId="0000004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HDL (good) cholesterol: Above 60 mg/dL.</w:t>
      </w:r>
    </w:p>
    <w:p w:rsidR="00000000" w:rsidDel="00000000" w:rsidP="00000000" w:rsidRDefault="00000000" w:rsidRPr="00000000" w14:paraId="0000004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LDL (bad) cholesterol: Below 100 mg/dL (or below 70 mg/dL for those with diabetes).</w:t>
      </w:r>
    </w:p>
    <w:p w:rsidR="00000000" w:rsidDel="00000000" w:rsidP="00000000" w:rsidRDefault="00000000" w:rsidRPr="00000000" w14:paraId="0000004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Triglycerides: Below 150 mg/dL.</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Results:</w:t>
      </w:r>
    </w:p>
    <w:p w:rsidR="00000000" w:rsidDel="00000000" w:rsidP="00000000" w:rsidRDefault="00000000" w:rsidRPr="00000000" w14:paraId="0000004E">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outside the target range may suggest a borderline, intermediate, or high risk for cardiovascular disease.</w:t>
      </w:r>
    </w:p>
    <w:p w:rsidR="00000000" w:rsidDel="00000000" w:rsidP="00000000" w:rsidRDefault="00000000" w:rsidRPr="00000000" w14:paraId="0000004F">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levels of total cholesterol, LDL, and triglycerides, or low levels of HDL, generally increase cardiovascular risk.</w:t>
      </w:r>
    </w:p>
    <w:p w:rsidR="00000000" w:rsidDel="00000000" w:rsidP="00000000" w:rsidRDefault="00000000" w:rsidRPr="00000000" w14:paraId="0000005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Abnormally low cholesterol levels are rare and usually related to conditions like malnutrition.</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Concerns About Abnormal Results:</w:t>
      </w:r>
    </w:p>
    <w:p w:rsidR="00000000" w:rsidDel="00000000" w:rsidP="00000000" w:rsidRDefault="00000000" w:rsidRPr="00000000" w14:paraId="00000053">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Abnormal cholesterol or triglyceride levels do not always indicate a medical condition or need for treatment.</w:t>
      </w:r>
    </w:p>
    <w:p w:rsidR="00000000" w:rsidDel="00000000" w:rsidP="00000000" w:rsidRDefault="00000000" w:rsidRPr="00000000" w14:paraId="00000054">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Providers consider factors like age, health, medical history, medications, and risk factors when interpreting lipid results.</w:t>
      </w:r>
    </w:p>
    <w:p w:rsidR="00000000" w:rsidDel="00000000" w:rsidP="00000000" w:rsidRDefault="00000000" w:rsidRPr="00000000" w14:paraId="00000055">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calculators may be used to determine the need for further testing or treatment.</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Steps for Abnormal Lipid Results: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Actions may include:</w:t>
      </w:r>
    </w:p>
    <w:p w:rsidR="00000000" w:rsidDel="00000000" w:rsidP="00000000" w:rsidRDefault="00000000" w:rsidRPr="00000000" w14:paraId="00000059">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Continued monitoring of lipid levels.</w:t>
      </w:r>
    </w:p>
    <w:p w:rsidR="00000000" w:rsidDel="00000000" w:rsidP="00000000" w:rsidRDefault="00000000" w:rsidRPr="00000000" w14:paraId="0000005A">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changes (diet, exercise).</w:t>
      </w:r>
    </w:p>
    <w:p w:rsidR="00000000" w:rsidDel="00000000" w:rsidP="00000000" w:rsidRDefault="00000000" w:rsidRPr="00000000" w14:paraId="0000005B">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cholesterol-lowering medications.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Procedure Notes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Special Precaution: </w:t>
      </w:r>
      <w:r w:rsidDel="00000000" w:rsidR="00000000" w:rsidRPr="00000000">
        <w:rPr>
          <w:rFonts w:ascii="Times New Roman" w:cs="Times New Roman" w:eastAsia="Times New Roman" w:hAnsi="Times New Roman"/>
          <w:sz w:val="24"/>
          <w:szCs w:val="24"/>
          <w:rtl w:val="0"/>
        </w:rPr>
        <w:t xml:space="preserve">This product originates from both human and animal sources and should be treated as if it could transmit infectious diseases. It is important to wear the appropriate personal protective equipment (PPE) when handling equipment, reagents, and samples.</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Limitations of Methods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Limit of Detection (standard 1 + 3 SD): </w:t>
      </w:r>
      <w:r w:rsidDel="00000000" w:rsidR="00000000" w:rsidRPr="00000000">
        <w:rPr>
          <w:rFonts w:ascii="Times New Roman" w:cs="Times New Roman" w:eastAsia="Times New Roman" w:hAnsi="Times New Roman"/>
          <w:sz w:val="24"/>
          <w:szCs w:val="24"/>
          <w:rtl w:val="0"/>
        </w:rPr>
        <w:t xml:space="preserve">5 mg/dL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Analytical Measurement Range: </w:t>
      </w:r>
      <w:r w:rsidDel="00000000" w:rsidR="00000000" w:rsidRPr="00000000">
        <w:rPr>
          <w:rFonts w:ascii="Times New Roman" w:cs="Times New Roman" w:eastAsia="Times New Roman" w:hAnsi="Times New Roman"/>
          <w:sz w:val="24"/>
          <w:szCs w:val="24"/>
          <w:rtl w:val="0"/>
        </w:rPr>
        <w:t xml:space="preserve">5-800 mg/dL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Interference Limits:</w:t>
      </w:r>
    </w:p>
    <w:p w:rsidR="00000000" w:rsidDel="00000000" w:rsidP="00000000" w:rsidRDefault="00000000" w:rsidRPr="00000000" w14:paraId="00000065">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Icteric index below 16: no interference.</w:t>
      </w:r>
    </w:p>
    <w:p w:rsidR="00000000" w:rsidDel="00000000" w:rsidP="00000000" w:rsidRDefault="00000000" w:rsidRPr="00000000" w14:paraId="00000066">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Hemolytic index (H index) below 700: no interference.</w:t>
      </w:r>
    </w:p>
    <w:p w:rsidR="00000000" w:rsidDel="00000000" w:rsidP="00000000" w:rsidRDefault="00000000" w:rsidRPr="00000000" w14:paraId="00000067">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Lipemic index below 2000: no interference.</w:t>
      </w:r>
    </w:p>
    <w:p w:rsidR="00000000" w:rsidDel="00000000" w:rsidP="00000000" w:rsidRDefault="00000000" w:rsidRPr="00000000" w14:paraId="00000068">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Therapeutic concentrations of commonly used drugs: no interference.</w:t>
      </w:r>
    </w:p>
    <w:p w:rsidR="00000000" w:rsidDel="00000000" w:rsidP="00000000" w:rsidRDefault="00000000" w:rsidRPr="00000000" w14:paraId="00000069">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rare cases, gammopathy, particularly IgM (Waldenstrom’s macroglobulinemia), may lead to unreliable results.</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Troubleshooting or Back-up Plan</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testing system becomes inoperable, stop testing immediately and inform the supervisor. During troubleshooting or repair of the instrument, ensure specimens are stored at refrigerated or frozen temperatures, according to the specific study requirements.</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06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C. C. M. (2024, May 1). </w:t>
      </w:r>
      <w:r w:rsidDel="00000000" w:rsidR="00000000" w:rsidRPr="00000000">
        <w:rPr>
          <w:rFonts w:ascii="Times New Roman" w:cs="Times New Roman" w:eastAsia="Times New Roman" w:hAnsi="Times New Roman"/>
          <w:i w:val="1"/>
          <w:sz w:val="24"/>
          <w:szCs w:val="24"/>
          <w:rtl w:val="0"/>
        </w:rPr>
        <w:t xml:space="preserve">Lipid panel</w:t>
      </w:r>
      <w:r w:rsidDel="00000000" w:rsidR="00000000" w:rsidRPr="00000000">
        <w:rPr>
          <w:rFonts w:ascii="Times New Roman" w:cs="Times New Roman" w:eastAsia="Times New Roman" w:hAnsi="Times New Roman"/>
          <w:sz w:val="24"/>
          <w:szCs w:val="24"/>
          <w:rtl w:val="0"/>
        </w:rPr>
        <w:t xml:space="preserve">. Cleveland Clinic. https://my.clevelandclinic.org/health/diagnostics/17176-lipid-panel</w:t>
      </w:r>
    </w:p>
    <w:p w:rsidR="00000000" w:rsidDel="00000000" w:rsidP="00000000" w:rsidRDefault="00000000" w:rsidRPr="00000000" w14:paraId="0000007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Faacc, T. K. P. D. (2022, September 13). </w:t>
      </w:r>
      <w:r w:rsidDel="00000000" w:rsidR="00000000" w:rsidRPr="00000000">
        <w:rPr>
          <w:rFonts w:ascii="Times New Roman" w:cs="Times New Roman" w:eastAsia="Times New Roman" w:hAnsi="Times New Roman"/>
          <w:i w:val="1"/>
          <w:sz w:val="24"/>
          <w:szCs w:val="24"/>
          <w:rtl w:val="0"/>
        </w:rPr>
        <w:t xml:space="preserve">Lipid panel test - testing.com</w:t>
      </w:r>
      <w:r w:rsidDel="00000000" w:rsidR="00000000" w:rsidRPr="00000000">
        <w:rPr>
          <w:rFonts w:ascii="Times New Roman" w:cs="Times New Roman" w:eastAsia="Times New Roman" w:hAnsi="Times New Roman"/>
          <w:sz w:val="24"/>
          <w:szCs w:val="24"/>
          <w:rtl w:val="0"/>
        </w:rPr>
        <w:t xml:space="preserve">. Testing.com. https://www.testing.com/tests/lipid-panel/</w:t>
      </w:r>
    </w:p>
    <w:p w:rsidR="00000000" w:rsidDel="00000000" w:rsidP="00000000" w:rsidRDefault="00000000" w:rsidRPr="00000000" w14:paraId="0000007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Lipid panel</w:t>
      </w:r>
      <w:r w:rsidDel="00000000" w:rsidR="00000000" w:rsidRPr="00000000">
        <w:rPr>
          <w:rFonts w:ascii="Times New Roman" w:cs="Times New Roman" w:eastAsia="Times New Roman" w:hAnsi="Times New Roman"/>
          <w:sz w:val="24"/>
          <w:szCs w:val="24"/>
          <w:rtl w:val="0"/>
        </w:rPr>
        <w:t xml:space="preserve">. (2020, December 4). Johns Hopkins Medicine. https://www.hopkinsmedicine.org/health/treatment-tests-and-therapies/lipid-panel</w:t>
      </w:r>
    </w:p>
    <w:p w:rsidR="00000000" w:rsidDel="00000000" w:rsidP="00000000" w:rsidRDefault="00000000" w:rsidRPr="00000000" w14:paraId="0000007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303756: Lipid Panel | LabCorp</w:t>
      </w:r>
      <w:r w:rsidDel="00000000" w:rsidR="00000000" w:rsidRPr="00000000">
        <w:rPr>
          <w:rFonts w:ascii="Times New Roman" w:cs="Times New Roman" w:eastAsia="Times New Roman" w:hAnsi="Times New Roman"/>
          <w:sz w:val="24"/>
          <w:szCs w:val="24"/>
          <w:rtl w:val="0"/>
        </w:rPr>
        <w:t xml:space="preserve">. (n.d.). Labcorp. https://www.labcorp.com/tests/303756/lipid-panel</w:t>
      </w:r>
    </w:p>
    <w:p w:rsidR="00000000" w:rsidDel="00000000" w:rsidP="00000000" w:rsidRDefault="00000000" w:rsidRPr="00000000" w14:paraId="0000007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Test details</w:t>
      </w:r>
      <w:r w:rsidDel="00000000" w:rsidR="00000000" w:rsidRPr="00000000">
        <w:rPr>
          <w:rFonts w:ascii="Times New Roman" w:cs="Times New Roman" w:eastAsia="Times New Roman" w:hAnsi="Times New Roman"/>
          <w:sz w:val="24"/>
          <w:szCs w:val="24"/>
          <w:rtl w:val="0"/>
        </w:rPr>
        <w:t xml:space="preserve">. (n.d.). https://www.utmb.edu/lsg2/Home/Details?id=548</w:t>
      </w:r>
    </w:p>
    <w:p w:rsidR="00000000" w:rsidDel="00000000" w:rsidP="00000000" w:rsidRDefault="00000000" w:rsidRPr="00000000" w14:paraId="0000007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Minnesota, Killeen, A., &amp; Peters, J. (n.d.). </w:t>
      </w:r>
      <w:r w:rsidDel="00000000" w:rsidR="00000000" w:rsidRPr="00000000">
        <w:rPr>
          <w:rFonts w:ascii="Times New Roman" w:cs="Times New Roman" w:eastAsia="Times New Roman" w:hAnsi="Times New Roman"/>
          <w:i w:val="1"/>
          <w:sz w:val="24"/>
          <w:szCs w:val="24"/>
          <w:rtl w:val="0"/>
        </w:rPr>
        <w:t xml:space="preserve">Laboratory Procedure Manual</w:t>
      </w:r>
      <w:r w:rsidDel="00000000" w:rsidR="00000000" w:rsidRPr="00000000">
        <w:rPr>
          <w:rFonts w:ascii="Times New Roman" w:cs="Times New Roman" w:eastAsia="Times New Roman" w:hAnsi="Times New Roman"/>
          <w:sz w:val="24"/>
          <w:szCs w:val="24"/>
          <w:rtl w:val="0"/>
        </w:rPr>
        <w:t xml:space="preserve">. https://wwwn.cdc.gov/nchs/data/nhanes/2017-2018/labmethods/BIOPRO-J-MET-Total-Cholesterol-508.pdf</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Effective Date</w:t>
        <w:br w:type="textWrapping"/>
      </w:r>
      <w:r w:rsidDel="00000000" w:rsidR="00000000" w:rsidRPr="00000000">
        <w:rPr>
          <w:rFonts w:ascii="Times New Roman" w:cs="Times New Roman" w:eastAsia="Times New Roman" w:hAnsi="Times New Roman"/>
          <w:sz w:val="24"/>
          <w:szCs w:val="24"/>
          <w:rtl w:val="0"/>
        </w:rPr>
        <w:t xml:space="preserve">October 8, 2024</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Signature of Laboratory Director</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828800" cy="489300"/>
            <wp:effectExtent b="0" l="0" r="0" t="0"/>
            <wp:docPr id="1" name="image1.png"/>
            <a:graphic>
              <a:graphicData uri="http://schemas.openxmlformats.org/drawingml/2006/picture">
                <pic:pic>
                  <pic:nvPicPr>
                    <pic:cNvPr id="0" name="image1.png"/>
                    <pic:cNvPicPr preferRelativeResize="0"/>
                  </pic:nvPicPr>
                  <pic:blipFill>
                    <a:blip r:embed="rId6"/>
                    <a:srcRect b="33380" l="0" r="11926" t="43133"/>
                    <a:stretch>
                      <a:fillRect/>
                    </a:stretch>
                  </pic:blipFill>
                  <pic:spPr>
                    <a:xfrm>
                      <a:off x="0" y="0"/>
                      <a:ext cx="1828800" cy="4893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RAYANNE GRACE L. AVANZADO</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rFonts w:ascii="Times New Roman" w:cs="Times New Roman" w:eastAsia="Times New Roman" w:hAnsi="Times New Roman"/>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